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86MS0043-01-2024-000266-21</w:t>
      </w:r>
    </w:p>
    <w:p>
      <w:pPr>
        <w:spacing w:before="0" w:after="0"/>
        <w:ind w:left="5664" w:firstLine="708"/>
        <w:rPr>
          <w:sz w:val="27"/>
          <w:szCs w:val="27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СОНТ «Водник 1» </w:t>
      </w:r>
      <w:r>
        <w:rPr>
          <w:rFonts w:ascii="Times New Roman" w:eastAsia="Times New Roman" w:hAnsi="Times New Roman" w:cs="Times New Roman"/>
          <w:sz w:val="28"/>
          <w:szCs w:val="28"/>
        </w:rPr>
        <w:t>Разумовой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СОНТ «Водник 1»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рекой Большая </w:t>
      </w:r>
      <w:r>
        <w:rPr>
          <w:rFonts w:ascii="Times New Roman" w:eastAsia="Times New Roman" w:hAnsi="Times New Roman" w:cs="Times New Roman"/>
          <w:sz w:val="28"/>
          <w:szCs w:val="28"/>
        </w:rPr>
        <w:t>рязанка</w:t>
      </w:r>
      <w:r>
        <w:rPr>
          <w:rFonts w:ascii="Times New Roman" w:eastAsia="Times New Roman" w:hAnsi="Times New Roman" w:cs="Times New Roman"/>
          <w:sz w:val="28"/>
          <w:szCs w:val="28"/>
        </w:rPr>
        <w:t>, панель 3</w:t>
      </w:r>
      <w:r>
        <w:rPr>
          <w:rFonts w:ascii="Times New Roman" w:eastAsia="Times New Roman" w:hAnsi="Times New Roman" w:cs="Times New Roman"/>
          <w:sz w:val="28"/>
          <w:szCs w:val="28"/>
        </w:rPr>
        <w:t>, что подтверждается выпиской из ЕГРЮЛ,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ась,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605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Разумова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СОНТ «Водник 1» </w:t>
      </w:r>
      <w:r>
        <w:rPr>
          <w:rFonts w:ascii="Times New Roman" w:eastAsia="Times New Roman" w:hAnsi="Times New Roman" w:cs="Times New Roman"/>
          <w:sz w:val="28"/>
          <w:szCs w:val="28"/>
        </w:rPr>
        <w:t>Разумо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4rplc-2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4rplc-27">
    <w:name w:val="cat-UserDefined grp-24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